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</w:p>
    <w:p>
      <w:pPr>
        <w:spacing w:after="0"/>
      </w:pPr>
    </w:p>
    <w:p>
      <w:pPr>
        <w:spacing w:after="360"/>
        <w:jc w:val="center"/>
      </w:pPr>
      <w:r>
        <w:drawing>
          <wp:inline xmlns:a="http://schemas.openxmlformats.org/drawingml/2006/main" xmlns:pic="http://schemas.openxmlformats.org/drawingml/2006/picture">
            <wp:extent cx="1234440" cy="12344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tmp_app_icon_51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rPr>
          <w:rFonts w:ascii="Calibri" w:hAnsi="Calibri" w:eastAsia="Calibri"/>
          <w:b/>
          <w:i w:val="0"/>
          <w:caps/>
          <w:color w:val="0F766E"/>
          <w:sz w:val="22"/>
        </w:rPr>
        <w:t>SU BELLA VIDA  ·  EDUCATIONAL SERIES</w:t>
      </w:r>
    </w:p>
    <w:p>
      <w:pPr>
        <w:spacing w:after="160"/>
        <w:jc w:val="center"/>
      </w:pPr>
      <w:r>
        <w:rPr>
          <w:rFonts w:ascii="Calibri" w:hAnsi="Calibri" w:eastAsia="Calibri"/>
          <w:b/>
          <w:i w:val="0"/>
          <w:color w:val="1C1917"/>
          <w:sz w:val="64"/>
        </w:rPr>
        <w:t>Your First Paycheck</w:t>
      </w:r>
    </w:p>
    <w:p>
      <w:pPr>
        <w:jc w:val="center"/>
        <w:pBdr>
          <w:bottom w:val="single" w:sz="12" w:space="1" w:color="0F766E"/>
        </w:pBdr>
      </w:pPr>
    </w:p>
    <w:p>
      <w:pPr>
        <w:spacing w:before="200" w:after="160"/>
        <w:jc w:val="center"/>
      </w:pPr>
      <w:r>
        <w:rPr>
          <w:rFonts w:ascii="Calibri" w:hAnsi="Calibri" w:eastAsia="Calibri"/>
          <w:b w:val="0"/>
          <w:i/>
          <w:color w:val="0F766E"/>
          <w:sz w:val="28"/>
        </w:rPr>
        <w:t>Build the habits early. Protect your future. Let time do the heavy lifting.</w:t>
      </w:r>
    </w:p>
    <w:p>
      <w:pPr>
        <w:spacing w:after="560"/>
        <w:jc w:val="center"/>
      </w:pPr>
      <w:r>
        <w:rPr>
          <w:rFonts w:ascii="Calibri" w:hAnsi="Calibri" w:eastAsia="Calibri"/>
          <w:b w:val="0"/>
          <w:i w:val="0"/>
          <w:color w:val="57534E"/>
          <w:sz w:val="24"/>
        </w:rPr>
        <w:t>A practical financial roadmap for graduates and</w:t>
        <w:br/>
        <w:t>young professionals building wealth from the start</w:t>
      </w:r>
    </w:p>
    <w:p>
      <w:pPr>
        <w:spacing w:before="720"/>
        <w:jc w:val="center"/>
      </w:pPr>
      <w:r>
        <w:rPr>
          <w:rFonts w:ascii="Calibri" w:hAnsi="Calibri" w:eastAsia="Calibri"/>
          <w:b w:val="0"/>
          <w:i w:val="0"/>
          <w:color w:val="244A7A"/>
          <w:sz w:val="22"/>
        </w:rPr>
        <w:t>Advisor Edition  ·  September 2026</w:t>
      </w:r>
    </w:p>
    <w:p>
      <w:pPr>
        <w:jc w:val="center"/>
      </w:pPr>
      <w:r>
        <w:rPr>
          <w:rFonts w:ascii="Calibri" w:hAnsi="Calibri" w:eastAsia="Calibri"/>
          <w:b/>
          <w:i w:val="0"/>
          <w:color w:val="0F766E"/>
          <w:sz w:val="24"/>
        </w:rPr>
        <w:t>SuBellaVida.Com</w:t>
      </w:r>
    </w:p>
    <w:p>
      <w:pPr>
        <w:jc w:val="center"/>
      </w:pPr>
      <w:r>
        <w:rPr>
          <w:rFonts w:ascii="Calibri" w:hAnsi="Calibri" w:eastAsia="Calibri"/>
          <w:b w:val="0"/>
          <w:i w:val="0"/>
          <w:color w:val="57534E"/>
          <w:sz w:val="18"/>
        </w:rPr>
        <w:t>© 2025–2026 Su Bella Vida. All rights reserved.</w:t>
        <w:br/>
        <w:t>Your Beautiful Life.</w:t>
      </w:r>
    </w:p>
    <w:p>
      <w:r>
        <w:br w:type="page"/>
      </w:r>
    </w:p>
    <w:p>
      <w:pPr>
        <w:pStyle w:val="Heading1"/>
      </w:pPr>
      <w:r>
        <w:t>Important Disclaimers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4FBFA" w:val="clear"/>
            <w:tcBorders>
              <w:top w:val="single" w:sz="12" w:color="0F766E"/>
              <w:left w:val="single" w:sz="12" w:color="0F766E"/>
              <w:bottom w:val="single" w:sz="12" w:color="0F766E"/>
              <w:right w:val="single" w:sz="12" w:color="0F766E"/>
            </w:tcBorders>
          </w:tcPr>
          <w:p>
            <w:pPr>
              <w:spacing w:after="120"/>
            </w:pPr>
            <w:r>
              <w:rPr>
                <w:rFonts w:ascii="Calibri" w:hAnsi="Calibri" w:eastAsia="Calibri"/>
                <w:b/>
                <w:i w:val="0"/>
                <w:caps/>
                <w:color w:val="0F766E"/>
                <w:sz w:val="20"/>
              </w:rPr>
              <w:t>EDUCATIONAL TOOL NOTICE</w:t>
            </w:r>
          </w:p>
          <w:p>
            <w:pPr>
              <w:spacing w:after="120" w:before="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20"/>
              </w:rPr>
              <w:t>This publication is provided by Su Bella Vida for educational and discussion purposes only. It is a learning resource to help graduates and young professionals understand first-paycheck decisions, cash flow, saving, investing, insurance, and related planning concepts. It is not a substitute for advice from licensed professionals who know your circumstances.</w:t>
            </w:r>
          </w:p>
          <w:p>
            <w:pPr>
              <w:spacing w:after="120" w:before="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20"/>
              </w:rPr>
              <w:t>This book is not legal, tax, insurance, estate-planning, cybersecurity, student-loan, or investment advice. It is not a recommendation of any particular document, product, account, contribution rate, investment, loan program, or institution.</w:t>
            </w:r>
          </w:p>
          <w:p>
            <w:pPr>
              <w:spacing w:after="120" w:before="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20"/>
              </w:rPr>
              <w:t>Su Bella Vida is not a bank, broker-dealer, registered investment advisor, CPA, enrolled agent, insurer, or law firm. We do not provide investment advice, execute trades, prepare tax returns, or practice law.</w:t>
            </w:r>
          </w:p>
          <w:p>
            <w:pPr>
              <w:spacing w:after="120" w:before="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20"/>
              </w:rPr>
              <w:t>Tax law, contribution limits, employer plans, insurance terms, student-loan programs, and investment options change. Rules also vary by jurisdiction, employer, and individual circumstances. Benchmarks in this book are planning guides, not universal rules.</w:t>
            </w:r>
          </w:p>
          <w:p>
            <w:pPr>
              <w:spacing w:after="120" w:before="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20"/>
              </w:rPr>
              <w:t>Do not record passwords, PINs, recovery codes, or other secrets in this book or on printed worksheets. Keep credentials in a reputable password manager or other protected system.</w:t>
            </w:r>
          </w:p>
          <w:p>
            <w:pPr>
              <w:spacing w:after="120" w:before="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20"/>
              </w:rPr>
              <w:t>Examples, checklists, and worksheets are educational illustrations, not guarantees. Always do your own research. For real financial, legal, tax, insurance, or student-loan decisions, consult qualified licensed professionals. You use this material at your own risk. Su Bella Vida is not responsible for decisions made on the basis of this publication.</w:t>
            </w:r>
          </w:p>
          <w:p>
            <w:pPr>
              <w:spacing w:after="120" w:before="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20"/>
              </w:rPr>
              <w:t>Learn more at https://subellavida.com. Terms and disclaimer: https://subellavida.com/terms/. Support: support@subellavida.com.</w:t>
            </w:r>
          </w:p>
        </w:tc>
      </w:tr>
    </w:tbl>
    <w:p>
      <w:pPr>
        <w:spacing w:after="120"/>
      </w:pPr>
    </w:p>
    <w:p>
      <w:pPr>
        <w:spacing w:after="20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By using this book you acknowledge that Su Bella Vida is a learning and organization tool, not a provider of professional financial, legal, or tax services. Read the current terms at subellavida.com/terms/ before relying on any planning discussion in these pages.</w:t>
      </w:r>
    </w:p>
    <w:p>
      <w:r>
        <w:br w:type="page"/>
      </w:r>
    </w:p>
    <w:p>
      <w:pPr>
        <w:pStyle w:val="Heading1"/>
      </w:pPr>
      <w:r>
        <w:t>About This Book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 w:val="0"/>
          <w:color w:val="1C1917"/>
          <w:sz w:val="22"/>
        </w:rPr>
        <w:t>Your first steady paycheck is a financial turning point. It is the moment to start a system—not simply a higher standard of living—before major obligations become permanent.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 w:val="0"/>
          <w:color w:val="1C1917"/>
          <w:sz w:val="22"/>
        </w:rPr>
        <w:t>This advisor-style guide is built around a simple sequence: build the foundation, build wealth early, protect the plan, control lifestyle inflation, and turn income into financial independence.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 w:val="0"/>
          <w:color w:val="1C1917"/>
          <w:sz w:val="22"/>
        </w:rPr>
        <w:t>Each chapter explains the reasoning, then translates it into decisions, common mistakes, an advisor’s perspective, and an action checklist. Use the worksheets to capture your own numbers.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 w:val="0"/>
          <w:color w:val="1C1917"/>
          <w:sz w:val="22"/>
        </w:rPr>
        <w:t>Use benchmarks as planning guides, not universal rules. Tax law, contribution limits, insurance terms, investment options, and loan programs change, and individual circumstances matter.</w:t>
      </w:r>
    </w:p>
    <w:p>
      <w:pPr>
        <w:pStyle w:val="Heading2"/>
      </w:pPr>
      <w:r>
        <w:t>How to use this book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Read the parts in order if you are starting your first job or first professional paycheck.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Skip to the part you need if you already have a budget and are filling a specific gap—retirement accounts, insurance, or lifestyle inflation.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Capture working numbers in the worksheet appendix. Keep credentials in a secure system, not in these pages.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the plan at least annually and after raises, job changes, and other major life events.</w:t>
      </w:r>
    </w:p>
    <w:p>
      <w:r>
        <w:br w:type="page"/>
      </w:r>
    </w:p>
    <w:p>
      <w:pPr>
        <w:pStyle w:val="Heading1"/>
      </w:pPr>
      <w:r>
        <w:t>Contents</w:t>
      </w:r>
    </w:p>
    <w:p>
      <w:pPr>
        <w:spacing w:after="240"/>
      </w:pPr>
      <w:r>
        <w:rPr>
          <w:rFonts w:ascii="Calibri" w:hAnsi="Calibri" w:eastAsia="Calibri"/>
          <w:b w:val="0"/>
          <w:i/>
          <w:color w:val="57534E"/>
          <w:sz w:val="22"/>
        </w:rPr>
        <w:t>Twenty-one chapters in five parts, followed by a conclusion, glossary, worksheets, and ten starting rules.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PART I — BUILD THE FOUNDATION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1. Your First Paycheck Is a Financial Turning Point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2. Build a Simple Cash-Flow System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3. Build the Safety Net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4. Deal With Debt Intelligently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5. Build Credit Without Building a Lifestyle Around Debt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PART II — BUILD WEALTH EARLY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6. Start Investing With Your First Job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7. Make the 401(k) Work for You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8. Roth vs. Traditional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9. Invest Simply and Consistently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10. Use the Right Account for the Right Goal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PART III — PROTECT YOUR FINANCIAL FUTURE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11. Protect Your Ability to Earn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12. Life, Property, Auto and Liability Insurance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13. Establish a Basic Estate Plan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14. Protect Your Digital Financial Life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PART IV — TURN INCOME INTO FINANCIAL INDEPENDENCE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15. Control Lifestyle Inflation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16. Set Goals Beyond Retirement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17. Track Net Worth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18. Build Your Personal Financial Operating System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PART V — YOUR FIRST 10 YEARS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19. Years 1–2: Foundation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20. Years 3–5: Acceleration</w:t>
      </w:r>
    </w:p>
    <w:p>
      <w:pPr>
        <w:spacing w:after="40" w:before="20"/>
        <w:ind w:left="288"/>
      </w:pPr>
      <w:r>
        <w:rPr>
          <w:rFonts w:ascii="Calibri" w:hAnsi="Calibri" w:eastAsia="Calibri"/>
          <w:b w:val="0"/>
          <w:i w:val="0"/>
          <w:color w:val="1C1917"/>
          <w:sz w:val="22"/>
        </w:rPr>
        <w:t>21. Years 5–10: Wealth Building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Conclusion — Build a System That Grows With You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Glossary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Practical Worksheets &amp; Checklists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Quick Start — The 10 Rules</w:t>
      </w:r>
    </w:p>
    <w:p>
      <w:pPr>
        <w:spacing w:after="160" w:before="160"/>
      </w:pPr>
      <w:r>
        <w:rPr>
          <w:rFonts w:ascii="Calibri" w:hAnsi="Calibri" w:eastAsia="Calibri"/>
          <w:b/>
          <w:i w:val="0"/>
          <w:color w:val="0F766E"/>
          <w:sz w:val="22"/>
        </w:rPr>
        <w:t>A closing note from Su Bella Vida</w:t>
      </w:r>
    </w:p>
    <w:p>
      <w:r>
        <w:br w:type="page"/>
      </w:r>
    </w:p>
    <w:p>
      <w:pPr>
        <w:pStyle w:val="Heading1"/>
      </w:pPr>
      <w:r>
        <w:t>PART I — BUILD THE FOUNDATION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/>
          <w:color w:val="1C1917"/>
          <w:sz w:val="22"/>
        </w:rPr>
        <w:t>Focus: practical decisions, advisor guidance, common mistakes, and actions.</w:t>
      </w:r>
    </w:p>
    <w:p>
      <w:pPr>
        <w:pStyle w:val="Heading2"/>
      </w:pPr>
      <w:r>
        <w:t>1. Your First Paycheck Is a Financial Turning Point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Your first paycheck should start a financial system, not simply a higher standard of living.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objective is to create financial flexibility before major obligations become permanent.</w:t>
      </w:r>
    </w:p>
    <w:p>
      <w:pPr>
        <w:pStyle w:val="Heading3"/>
      </w:pPr>
      <w:r>
        <w:t>Why It Matters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Early career years offer a rare combination of rising earning potential, relatively few obligations, and a long investment horizon.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poor decision repeated monthly can be more damaging than a one-time bad purchase.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Good habits established early can continue automatically through promotions, marriage, home ownership, and family formation.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Separate income, spending, saving, investing, protection, and taxes as distinct planning decisions.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Your first financial plan will be incomplete; it should evolve as income and responsibilities change.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Financial independence is created by the gap between what you earn and what you consume, invested intelligently over time.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Calculate take-home income.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Create a basic spending plan.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Capture employer benefits.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Establish emergency savings.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Eliminate expensive debt.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Begin retirement investing immediately.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Create a simple annual review process.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Treating a professional salary as permission to spend up to the new income level.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Waiting to invest until income is 'high enough.'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Ignoring insurance because there are few assets.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Taking on large recurring obligations based on expected future raises.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first meeting should focus more on behavior and cash flow than on sophisticated investment products.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best early plan is one the client can execute consistently.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Calculate monthly take-home pay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List essential expenses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Set savings target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Enroll in retirement plan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Capture employer match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Establish emergency-fund goal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List debts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insurance and beneficiaries</w:t>
      </w:r>
    </w:p>
    <w:p>
      <w:r>
        <w:br w:type="page"/>
      </w:r>
    </w:p>
    <w:p>
      <w:pPr>
        <w:pStyle w:val="Heading2"/>
      </w:pPr>
      <w:r>
        <w:t>2. Build a Simple Cash-Flow System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Money needs a destination before it arrives.</w:t>
      </w:r>
    </w:p>
    <w:p>
      <w:pPr>
        <w:pStyle w:val="Heading3"/>
      </w:pPr>
      <w:r>
        <w:t>Why It Matters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budget creates awareness and prevents lifestyle inflation.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Automation reduces dependence on willpower.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Cash-flow visibility makes every later financial decision easier.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Separate essential expenses from discretionary spending.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Include annual and irregular costs.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Savings should be treated as a planned expense, not whatever remains at month-end.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useful starting savings/investing target is often 15–20% of gross income when circumstances permit; the right number depends on goals and obligations.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Set automatic retirement contributions through payroll.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Automate emergency-fund or goal savings.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a separate account or clear tracking system for discretionary spending if needed.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actual spending against the plan monthly for the first year.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Making the budget so detailed that it becomes impossible to maintain.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Ignoring irregular expenses.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Counting credit-card spending as income flexibility.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Increasing fixed expenses immediately after every raise.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Focus first on the savings rate and fixed-cost structure. Small discretionary expenses matter, but large recurring commitments usually have greater long-term impact.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Calculate savings rate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Identify fixed expenses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Identify irregular expenses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Automate savings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monthly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Increase savings after raises</w:t>
      </w:r>
    </w:p>
    <w:p>
      <w:r>
        <w:br w:type="page"/>
      </w:r>
    </w:p>
    <w:p>
      <w:pPr>
        <w:pStyle w:val="Heading2"/>
      </w:pPr>
      <w:r>
        <w:t>3. Build the Safety Net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Emergency savings protects the investment plan by keeping short-term problems from becoming long-term damage.</w:t>
      </w:r>
    </w:p>
    <w:p>
      <w:pPr>
        <w:pStyle w:val="Heading3"/>
      </w:pPr>
      <w:r>
        <w:t>Why It Matters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Job loss and unexpected expenses can occur even when income is strong.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Without cash reserves, people may use expensive credit or sell investments during a market decline.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common target is 3–6 months of essential expenses.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a larger reserve when income is volatile or obligations are high.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Emergency funds should be liquid and low risk.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reserve should be distinct from vacation and routine spending money.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Calculate essential monthly expenses.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Choose the target number of months.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Automate contributions.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Rebuild the fund after using it.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Recalculate after major changes.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Investing emergency savings in volatile assets.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Using the reserve for predictable expenses.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Keeping too little because cash earns less than stocks.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emergency fund is insurance through liquidity. Its job is reliability, not maximum return.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Calculate essentials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Select 3–6 month target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Open/identify reserve account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Automate funding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annually</w:t>
      </w:r>
    </w:p>
    <w:p>
      <w:r>
        <w:br w:type="page"/>
      </w:r>
    </w:p>
    <w:p>
      <w:pPr>
        <w:pStyle w:val="Heading2"/>
      </w:pPr>
      <w:r>
        <w:t>4. Deal With Debt Intelligently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Debt should be evaluated by cost, purpose, flexibility, and opportunity cost—not simply labeled good or bad.</w:t>
      </w:r>
    </w:p>
    <w:p>
      <w:pPr>
        <w:pStyle w:val="Heading3"/>
      </w:pPr>
      <w:r>
        <w:t>Why It Matters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High-interest debt can consume cash flow that could otherwise compound.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Debt can also reduce flexibility when income changes.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List balance, interest rate, minimum payment, and term for every debt.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Credit-card debt generally deserves urgent attention.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Student loans require analysis of federal/private status, rates, repayment options, and potential forgiveness or employer programs.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Low-rate debt may reasonably coexist with investing after the broader plan is considered.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the avalanche method for mathematical interest savings or snowball method for behavioral momentum.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Do not sacrifice an employer match without analyzing the tradeoff.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Avoid accumulating new consumer debt while paying down old debt.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Focusing only on monthly payment instead of total interest.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Paying low-interest debt aggressively while carrying expensive credit-card debt.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Ignoring loan terms and refinancing consequences.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Debt strategy should fit the complete balance sheet. The question is where the next dollar improves financial health most.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Inventory all debt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Rank by rate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Select payoff method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Set extra-payment amount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student-loan options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Avoid new high-cost debt</w:t>
      </w:r>
    </w:p>
    <w:p>
      <w:r>
        <w:br w:type="page"/>
      </w:r>
    </w:p>
    <w:p>
      <w:pPr>
        <w:pStyle w:val="Heading2"/>
      </w:pPr>
      <w:r>
        <w:t>5. Build Credit Without Building a Lifestyle Around Debt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Credit is a tool for managing transactions and future borrowing—not an extension of income.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Pay every bill on time.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Pay revolving balances in full whenever possible.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Monitor reports and account activity.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Borrow only for purposes you can afford.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Carrying balances to 'build credit.'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Using credit limits as spending limits.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Opening accounts for rewards without understanding behavior and fees.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Strong credit can reduce future borrowing costs, but financial strength is measured by cash flow, assets, and net worth—not credit limits.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Set autopay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Monitor credit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Pay balances in full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Keep borrowing purposeful</w:t>
      </w:r>
    </w:p>
    <w:p>
      <w:r>
        <w:br w:type="page"/>
      </w:r>
    </w:p>
    <w:p>
      <w:pPr>
        <w:pStyle w:val="Heading1"/>
      </w:pPr>
      <w:r>
        <w:t>PART II — BUILD WEALTH EARLY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/>
          <w:color w:val="1C1917"/>
          <w:sz w:val="22"/>
        </w:rPr>
        <w:t>Focus: practical decisions, advisor guidance, common mistakes, and actions.</w:t>
      </w:r>
    </w:p>
    <w:p>
      <w:pPr>
        <w:pStyle w:val="Heading2"/>
      </w:pPr>
      <w:r>
        <w:t>6. Start Investing With Your First Job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Time is the young investor’s greatest advantage.</w:t>
      </w:r>
    </w:p>
    <w:p>
      <w:pPr>
        <w:pStyle w:val="Heading3"/>
      </w:pPr>
      <w:r>
        <w:t>Why It Matters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Early contributions can compound for decades.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Starting small is more valuable than waiting for a perfect portfolio.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Long horizons can provide more capacity to tolerate market volatility.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Investment risk should match the goal's time horizon.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Retirement money and a two-year home down payment should not be managed identically.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Diversification reduces dependence on any one investment.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Costs and taxes can materially affect long-term results.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Start with retirement contributions.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diversified investments.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Automate contributions.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allocation periodically rather than reacting to headlines.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Market timing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Performance chasing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Concentrated bets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Frequent trading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Confusing speculation with core investing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Behavioral coaching may be more valuable than security selection for a young client.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Define goals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Define horizons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Select diversified allocation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Automate contributions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annually</w:t>
      </w:r>
    </w:p>
    <w:p>
      <w:r>
        <w:br w:type="page"/>
      </w:r>
    </w:p>
    <w:p>
      <w:pPr>
        <w:pStyle w:val="Heading2"/>
      </w:pPr>
      <w:r>
        <w:t>7. Make the 401(k) Work for You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employer retirement plan is often the easiest place to start building retirement wealth.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Determine the match formula.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Understand vesting.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Traditional and Roth options.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investment choices and fees.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Understand contribution limits and plan rules each year.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Contribute enough to capture the full match when practical.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Increase contributions after raises.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automatic escalation when available.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Choose a diversified investment option appropriate to the time horizon.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Leaving the match unused.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Choosing investments based only on last year's performance.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Ignoring plan fees.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Stopping contributions during market declines.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plan should be reviewed as part of the whole household portfolio, not in isolation.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Match identified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Vesting understood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Contribution set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Investment selected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Fees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Annual increase scheduled</w:t>
      </w:r>
    </w:p>
    <w:p>
      <w:r>
        <w:br w:type="page"/>
      </w:r>
    </w:p>
    <w:p>
      <w:pPr>
        <w:pStyle w:val="Heading2"/>
      </w:pPr>
      <w:r>
        <w:t>8. Roth vs. Traditional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decision is fundamentally about when you want to pay tax and how much future flexibility you want.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Traditional contributions may provide an upfront tax benefit, with generally taxable withdrawals later.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Roth contributions are after-tax, with qualified withdrawals generally tax-free.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Early-career income may make Roth contributions attractive, but the correct answer depends on current and expected future tax circumstances.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Tax diversification can be valuable.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current marginal tax rate.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Estimate future earning trajectory.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Consider state taxes.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Consider existing Traditional/Roth balances.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Revisit annually as income changes.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Assuming Roth is always better.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Choosing solely based on today's tax rate.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Ignoring the rest of the household's tax picture.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Tax planning is a lifetime strategy. Account location and future withdrawal flexibility can matter as much as the contribution decision.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Current bracket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Future income considered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Employer options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Existing tax mix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Strategy documented</w:t>
      </w:r>
    </w:p>
    <w:p>
      <w:r>
        <w:br w:type="page"/>
      </w:r>
    </w:p>
    <w:p>
      <w:pPr>
        <w:pStyle w:val="Heading2"/>
      </w:pPr>
      <w:r>
        <w:t>9. Invest Simply and Consistently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simple diversified portfolio that can be maintained is usually more useful than a sophisticated portfolio that causes anxiety or constant trading.</w:t>
      </w:r>
    </w:p>
    <w:p>
      <w:pPr>
        <w:pStyle w:val="Heading3"/>
      </w:pPr>
      <w:r>
        <w:t>Core Ideas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Broad-market index funds or diversified funds can form a core portfolio.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Stocks generally provide greater long-term growth potential with greater volatility.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Bonds and cash can add stability and liquidity.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expense ratios and other costs.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a written allocation rather than reacting to news.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Concentrating in employer stock.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Buying investments solely because they recently performed well.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Using retirement money for speculative trades.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portfolio should serve the financial plan, not become the plan.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Choose allocation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Diversify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costs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Automate investing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Establish review/rebalancing process</w:t>
      </w:r>
    </w:p>
    <w:p>
      <w:r>
        <w:br w:type="page"/>
      </w:r>
    </w:p>
    <w:p>
      <w:pPr>
        <w:pStyle w:val="Heading2"/>
      </w:pPr>
      <w:r>
        <w:t>10. Use the Right Account for the Right Goal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Account selection should follow the purpose and time horizon of the money.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Employer retirement plans offer tax advantages and may provide matching.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IRAs can add retirement flexibility.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Taxable brokerage accounts can provide long-term capital outside retirement accounts.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Cash is appropriate for emergency and near-term needs.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Map every goal to an account.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Keep short-term goals out of volatile long-term portfolios.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contribution eligibility and limits annually.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Putting a near-term down payment into stocks.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Using retirement accounts as the default savings account for every goal.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Ignoring tax consequences in taxable accounts.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Think of account location as another layer of asset allocation and tax planning.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List goals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Assign horizons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Select account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Select investment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annually</w:t>
      </w:r>
    </w:p>
    <w:p>
      <w:r>
        <w:br w:type="page"/>
      </w:r>
    </w:p>
    <w:p>
      <w:pPr>
        <w:pStyle w:val="Heading1"/>
      </w:pPr>
      <w:r>
        <w:t>PART III — PROTECT YOUR FINANCIAL FUTURE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/>
          <w:color w:val="1C1917"/>
          <w:sz w:val="22"/>
        </w:rPr>
        <w:t>Focus: practical decisions, advisor guidance, common mistakes, and actions.</w:t>
      </w:r>
    </w:p>
    <w:p>
      <w:pPr>
        <w:pStyle w:val="Heading2"/>
      </w:pPr>
      <w:r>
        <w:t>11. Protect Your Ability to Earn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For a young professional, future earning power may be the largest economic asset.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long career can produce millions in lifetime earnings.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disability can interrupt income while expenses continue.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Health insurance protects against major medical costs.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Disability insurance can be especially important for income protection.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employer disability coverage.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Understand benefit percentage, waiting period, definition of disability, duration, and tax treatment.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Evaluate whether supplemental individual coverage is appropriate.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Understand health-plan deductibles and out-of-pocket limits.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Buying investment products before protecting income.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Assuming employer disability coverage is automatically sufficient.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Choosing health insurance based only on premium.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Insurance should protect risks that would materially alter the financial plan.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Health coverage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Disability coverage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Benefit limits understood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Coverage gaps identified</w:t>
      </w:r>
    </w:p>
    <w:p>
      <w:r>
        <w:br w:type="page"/>
      </w:r>
    </w:p>
    <w:p>
      <w:pPr>
        <w:pStyle w:val="Heading2"/>
      </w:pPr>
      <w:r>
        <w:t>12. Life, Property, Auto and Liability Insurance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Insure catastrophic risks and maintain coverage that fits your financial exposure.</w:t>
      </w:r>
    </w:p>
    <w:p>
      <w:pPr>
        <w:pStyle w:val="Heading3"/>
      </w:pPr>
      <w:r>
        <w:t>What You Need to Know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Life insurance need is primarily driven by financial dependents and obligations.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Auto and renters/homeowners policies provide both property and liability protection.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Umbrella liability can become useful as assets, income, and exposure grow.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liability limits.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Understand deductibles.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employer life insurance.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Reassess coverage after marriage, children, home purchase, business formation, or major wealth changes.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Buying insurance only on premium price.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Having inadequate liability limits.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Keeping obsolete coverage after life changes.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insurance plan should be integrated with the balance sheet and estate plan.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Auto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Renters/homeowners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Life need assessed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Liability limits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Umbrella need considered</w:t>
      </w:r>
    </w:p>
    <w:p>
      <w:r>
        <w:br w:type="page"/>
      </w:r>
    </w:p>
    <w:p>
      <w:pPr>
        <w:pStyle w:val="Heading2"/>
      </w:pPr>
      <w:r>
        <w:t>13. Establish a Basic Estate Plan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Every adult should have a basic plan for decision-making and asset transfer, even before substantial wealth accumulates.</w:t>
      </w:r>
    </w:p>
    <w:p>
      <w:pPr>
        <w:pStyle w:val="Heading3"/>
      </w:pPr>
      <w:r>
        <w:t>Core Documents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Will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Durable financial power of attorney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Healthcare directive/proxy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Beneficiary designations where applicable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Keep documents accessible.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Coordinate beneficiary designations with the broader estate plan.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after major life events.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qualified legal counsel for state-specific planning.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Assuming parents automatically have authority once a child is an adult.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Failing to update beneficiaries.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Creating documents and never reviewing them.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Estate planning starts with continuity and decision-making, not just inheritance tax planning.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Will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Financial POA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Healthcare documents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Beneficiaries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schedule</w:t>
      </w:r>
    </w:p>
    <w:p>
      <w:r>
        <w:br w:type="page"/>
      </w:r>
    </w:p>
    <w:p>
      <w:pPr>
        <w:pStyle w:val="Heading2"/>
      </w:pPr>
      <w:r>
        <w:t>14. Protect Your Digital Financial Life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Digital assets are now part of the household balance sheet and continuity plan.</w:t>
      </w:r>
    </w:p>
    <w:p>
      <w:pPr>
        <w:pStyle w:val="Heading3"/>
      </w:pPr>
      <w:r>
        <w:t>Inventory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Banking and brokerage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Retirement accounts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Email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Cloud storage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Photos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Domains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Subscriptions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Digital businesses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Important documents</w:t>
      </w:r>
    </w:p>
    <w:p>
      <w:pPr>
        <w:pStyle w:val="Heading3"/>
      </w:pPr>
      <w:r>
        <w:t>Security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unique passwords.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multifactor authentication.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Maintain secure recovery methods.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Protect against phishing and account takeover.</w:t>
      </w:r>
    </w:p>
    <w:p>
      <w:pPr>
        <w:pStyle w:val="Heading3"/>
      </w:pPr>
      <w:r>
        <w:t>Continuity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Maintain a secure inventory.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Tell a trusted person where instructions are located.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the inventory periodically.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Keeping critical account information only in one person's memory.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Using unsecured password lists.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Ignoring domains and digital businesses because they have no physical form.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Digital continuity is financial continuity.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Digital inventory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MFA enabled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Recovery methods reviewed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Secure instructions created</w:t>
      </w:r>
    </w:p>
    <w:p>
      <w:r>
        <w:br w:type="page"/>
      </w:r>
    </w:p>
    <w:p>
      <w:pPr>
        <w:pStyle w:val="Heading1"/>
      </w:pPr>
      <w:r>
        <w:t>PART IV — TURN INCOME INTO FINANCIAL INDEPENDENCE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/>
          <w:color w:val="1C1917"/>
          <w:sz w:val="22"/>
        </w:rPr>
        <w:t>Focus: practical decisions, advisor guidance, common mistakes, and actions.</w:t>
      </w:r>
    </w:p>
    <w:p>
      <w:pPr>
        <w:pStyle w:val="Heading2"/>
      </w:pPr>
      <w:r>
        <w:t>15. Control Lifestyle Inflation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Every raise can either increase current consumption, future freedom, or some combination. Choose deliberately.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Increase retirement savings after raises.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Increase taxable investing or goal savings.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Improve emergency reserves when needed.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a portion for lifestyle improvements you genuinely value.</w:t>
      </w:r>
    </w:p>
    <w:p>
      <w:pPr>
        <w:pStyle w:val="Heading3"/>
      </w:pPr>
      <w:r>
        <w:t>What to Watch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Housing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Cars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Recurring subscriptions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Travel commitments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Financed purchases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Private-school or other long-term obligations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Treating bonuses as permanent income.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Taking on recurring costs based on expected future compensation.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Comparing lifestyle with peers.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Fixed expenses deserve special attention because they are difficult to reverse.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Define raise allocation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Increase savings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fixed expenses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Approve lifestyle upgrades intentionally</w:t>
      </w:r>
    </w:p>
    <w:p>
      <w:r>
        <w:br w:type="page"/>
      </w:r>
    </w:p>
    <w:p>
      <w:pPr>
        <w:pStyle w:val="Heading2"/>
      </w:pPr>
      <w:r>
        <w:t>16. Set Goals Beyond Retirement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financial plan should fund life, not just retirement.</w:t>
      </w:r>
    </w:p>
    <w:p>
      <w:pPr>
        <w:pStyle w:val="Heading3"/>
      </w:pPr>
      <w:r>
        <w:t>Goal Horizons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Short term: 0–3 years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Medium term: roughly 3–10 years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Long term: 10+ years</w:t>
      </w:r>
    </w:p>
    <w:p>
      <w:pPr>
        <w:pStyle w:val="Heading3"/>
      </w:pPr>
      <w:r>
        <w:t>For Each Goal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Dollar target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Target date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Priority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Monthly funding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Account/investment choice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Contingency plan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Saving for everything without priorities.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Investing near-term goals too aggressively.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Treating retirement as the only legitimate financial goal.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Goals create the context for account, tax, liquidity, and investment decisions.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List goals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Rank priorities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Assign dates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Assign monthly savings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Review annually</w:t>
      </w:r>
    </w:p>
    <w:p>
      <w:r>
        <w:br w:type="page"/>
      </w:r>
    </w:p>
    <w:p>
      <w:pPr>
        <w:pStyle w:val="Heading2"/>
      </w:pPr>
      <w:r>
        <w:t>17. Track Net Worth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Income tells you what is flowing through your life; net worth shows what you have accumulated.</w:t>
      </w:r>
    </w:p>
    <w:p>
      <w:pPr>
        <w:pStyle w:val="Heading3"/>
      </w:pPr>
      <w:r>
        <w:t>Track Assets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Cash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Retirement accounts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Brokerage investments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Real estate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Business interests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Other meaningful assets</w:t>
      </w:r>
    </w:p>
    <w:p>
      <w:pPr>
        <w:pStyle w:val="Heading3"/>
      </w:pPr>
      <w:r>
        <w:t>Track Liabilities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Credit cards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Student loans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Auto loans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Mortgage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Personal loans</w:t>
      </w:r>
    </w:p>
    <w:p>
      <w:pPr>
        <w:pStyle w:val="Heading3"/>
      </w:pPr>
      <w:r>
        <w:t>What You Should Do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Calculate net worth at least annually.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Track savings rate.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Track debt reduction.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Track retirement progress.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Compare your trajectory with your own goals, not someone else's balance sheet.</w:t>
      </w:r>
    </w:p>
    <w:p>
      <w:pPr>
        <w:pStyle w:val="Heading3"/>
      </w:pPr>
      <w:r>
        <w:t>Common Mistakes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Counting home value without mortgage debt.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Ignoring liabilities.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Using market value changes as a substitute for savings discipline.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annual balance-sheet review is one of the simplest ways to make financial progress visible.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Update assets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Update liabilities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Calculate net worth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Compare year-over-year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Set next milestone</w:t>
      </w:r>
    </w:p>
    <w:p>
      <w:r>
        <w:br w:type="page"/>
      </w:r>
    </w:p>
    <w:p>
      <w:pPr>
        <w:pStyle w:val="Heading2"/>
      </w:pPr>
      <w:r>
        <w:t>18. Build Your Personal Financial Operating System</w:t>
      </w:r>
    </w:p>
    <w:p>
      <w:pPr>
        <w:pStyle w:val="Heading3"/>
      </w:pPr>
      <w:r>
        <w:t>Key Principle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 good plan should run with minimal effort and be reviewed deliberately.</w:t>
      </w:r>
    </w:p>
    <w:p>
      <w:pPr>
        <w:pStyle w:val="Heading3"/>
      </w:pPr>
      <w:r>
        <w:t>Monthly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cash flow.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Confirm automated savings.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Monitor unusual transactions.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Pay obligations on time.</w:t>
      </w:r>
    </w:p>
    <w:p>
      <w:pPr>
        <w:pStyle w:val="Heading3"/>
      </w:pPr>
      <w:r>
        <w:t>Quarterly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spending trends.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debt balances.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major goals.</w:t>
      </w:r>
    </w:p>
    <w:p>
      <w:pPr>
        <w:pStyle w:val="Heading3"/>
      </w:pPr>
      <w:r>
        <w:t>Annually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Update net worth.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retirement contributions.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tax strategy.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investments.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insurance.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beneficiaries and estate documents.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digital inventory.</w:t>
      </w:r>
    </w:p>
    <w:p>
      <w:pPr>
        <w:pStyle w:val="Heading3"/>
      </w:pPr>
      <w:r>
        <w:t>Life Events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Marriage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Children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Home purchase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Career change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Inheritance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Business formation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Major income change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annual review is not merely a portfolio meeting; it is a household financial-system review.</w:t>
      </w:r>
    </w:p>
    <w:p>
      <w:pPr>
        <w:pStyle w:val="Heading3"/>
      </w:pPr>
      <w:r>
        <w:t>Action Checklist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Monthly review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Quarterly review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Annual review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□ Life-event trigger list</w:t>
      </w:r>
    </w:p>
    <w:p>
      <w:r>
        <w:br w:type="page"/>
      </w:r>
    </w:p>
    <w:p>
      <w:pPr>
        <w:pStyle w:val="Heading1"/>
      </w:pPr>
      <w:r>
        <w:t>PART V — YOUR FIRST 10 YEARS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/>
          <w:color w:val="1C1917"/>
          <w:sz w:val="22"/>
        </w:rPr>
        <w:t>Focus: practical decisions, advisor guidance, common mistakes, and actions.</w:t>
      </w:r>
    </w:p>
    <w:p>
      <w:pPr>
        <w:pStyle w:val="Heading2"/>
      </w:pPr>
      <w:r>
        <w:t>19. Years 1–2: Foundation</w:t>
      </w:r>
    </w:p>
    <w:p>
      <w:pPr>
        <w:pStyle w:val="Heading3"/>
      </w:pPr>
      <w:r>
        <w:t>Primary Objectives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Create a workable budget.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Build emergency savings.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Capture retirement match.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Eliminate expensive debt.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Establish credit discipline.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Obtain appropriate insurance.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Create basic estate documents.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Begin investing.</w:t>
      </w:r>
    </w:p>
    <w:p>
      <w:pPr>
        <w:pStyle w:val="Heading3"/>
      </w:pPr>
      <w:r>
        <w:t>Do Not Overcomplicate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You do not need a perfect portfolio.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You do not need every financial product.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You do need a repeatable system.</w:t>
      </w:r>
    </w:p>
    <w:p>
      <w:pPr>
        <w:pStyle w:val="Heading3"/>
      </w:pPr>
      <w:r>
        <w:t>Milestone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Move from financial uncertainty to financial visibility and stability.</w:t>
      </w:r>
    </w:p>
    <w:p>
      <w:r>
        <w:br w:type="page"/>
      </w:r>
    </w:p>
    <w:p>
      <w:pPr>
        <w:pStyle w:val="Heading2"/>
      </w:pPr>
      <w:r>
        <w:t>20. Years 3–5: Acceleration</w:t>
      </w:r>
    </w:p>
    <w:p>
      <w:pPr>
        <w:pStyle w:val="Heading3"/>
      </w:pPr>
      <w:r>
        <w:t>Primary Objectives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Increase retirement contribution rate.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Build taxable investments where appropriate.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Strengthen reserves.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Roth/Traditional strategy.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Reassess disability and liability protection.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Fund major goals deliberately.</w:t>
      </w:r>
    </w:p>
    <w:p>
      <w:pPr>
        <w:pStyle w:val="Heading3"/>
      </w:pPr>
      <w:r>
        <w:t>Career Strategy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Invest in skills and career growth.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Treat earning power as a major asset.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Prevent each promotion from becoming a permanent expense increase.</w:t>
      </w:r>
    </w:p>
    <w:p>
      <w:pPr>
        <w:pStyle w:val="Heading3"/>
      </w:pPr>
      <w:r>
        <w:t>Milestone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Move from basic financial management to meaningful wealth accumulation.</w:t>
      </w:r>
    </w:p>
    <w:p>
      <w:r>
        <w:br w:type="page"/>
      </w:r>
    </w:p>
    <w:p>
      <w:pPr>
        <w:pStyle w:val="Heading2"/>
      </w:pPr>
      <w:r>
        <w:t>21. Years 5–10: Wealth Building</w:t>
      </w:r>
    </w:p>
    <w:p>
      <w:pPr>
        <w:pStyle w:val="Heading3"/>
      </w:pPr>
      <w:r>
        <w:t>Primary Objectives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Automate most savings and investing.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Build substantial retirement assets.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Build taxable investment capacity where appropriate.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Make major purchases deliberately.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Prepare for family/business complexity.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Upgrade estate planning as wealth grows.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Define financial independence in measurable terms.</w:t>
      </w:r>
    </w:p>
    <w:p>
      <w:pPr>
        <w:pStyle w:val="Heading3"/>
      </w:pPr>
      <w:r>
        <w:t>Advisor’s Perspective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client is no longer simply managing a paycheck; they are directing capital toward a desired future.</w:t>
      </w:r>
    </w:p>
    <w:p>
      <w:pPr>
        <w:pStyle w:val="Heading3"/>
      </w:pPr>
      <w:r>
        <w:t>Milestone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Move from 'building the foundation' to 'building financial freedom.'</w:t>
      </w:r>
    </w:p>
    <w:p>
      <w:r>
        <w:br w:type="page"/>
      </w:r>
    </w:p>
    <w:p>
      <w:pPr>
        <w:pStyle w:val="Heading1"/>
      </w:pPr>
      <w:r>
        <w:t>Conclusion — Build a System That Grows With You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You do not need a perfect financial plan at your first job.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You do need a system that consistently moves money toward stability, protection, growth, and future freedom.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As income increases, increase savings before increasing fixed lifestyle costs.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Review the plan annually and after major life events.</w:t>
      </w:r>
    </w:p>
    <w:p>
      <w:pPr>
        <w:pStyle w:val="ListBullet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The ultimate objective is not simply a larger investment account. It is financial flexibility—the ability to make life decisions without money becoming the limiting factor.</w:t>
      </w:r>
    </w:p>
    <w:p>
      <w:r>
        <w:br w:type="page"/>
      </w:r>
    </w:p>
    <w:p>
      <w:pPr>
        <w:pStyle w:val="Heading1"/>
      </w:pPr>
      <w:r>
        <w:t>Glossary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These working definitions are for education in this series. Legal and tax meanings can differ by jurisdiction and document.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C5D9D6"/>
          <w:left w:val="single" w:sz="4" w:color="C5D9D6"/>
          <w:bottom w:val="single" w:sz="4" w:color="C5D9D6"/>
          <w:right w:val="single" w:sz="4" w:color="C5D9D6"/>
          <w:insideH w:val="single" w:sz="4" w:color="C5D9D6"/>
          <w:insideV w:val="single" w:sz="4" w:color="C5D9D6"/>
        </w:tblBorders>
      </w:tblPr>
      <w:tblGrid>
        <w:gridCol w:w="4680"/>
        <w:gridCol w:w="4680"/>
      </w:tblGrid>
      <w:tr>
        <w:tc>
          <w:tcPr>
            <w:tcW w:type="dxa" w:w="3168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Term</w:t>
            </w:r>
          </w:p>
        </w:tc>
        <w:tc>
          <w:tcPr>
            <w:tcW w:type="dxa" w:w="6192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Meaning</w:t>
            </w:r>
          </w:p>
        </w:tc>
      </w:tr>
      <w:tr>
        <w:trPr>
          <w:cantSplit/>
        </w:trPr>
        <w:tc>
          <w:tcPr>
            <w:tcW w:type="dxa" w:w="3168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Asset</w:t>
            </w:r>
          </w:p>
        </w:tc>
        <w:tc>
          <w:tcPr>
            <w:tcW w:type="dxa" w:w="6192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Something with economic value that you own.</w:t>
            </w:r>
          </w:p>
        </w:tc>
      </w:tr>
      <w:tr>
        <w:trPr>
          <w:cantSplit/>
        </w:trPr>
        <w:tc>
          <w:tcPr>
            <w:tcW w:type="dxa" w:w="3168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Asset allocation</w:t>
            </w:r>
          </w:p>
        </w:tc>
        <w:tc>
          <w:tcPr>
            <w:tcW w:type="dxa" w:w="6192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The mix of investments such as stocks, bonds, and cash.</w:t>
            </w:r>
          </w:p>
        </w:tc>
      </w:tr>
      <w:tr>
        <w:trPr>
          <w:cantSplit/>
        </w:trPr>
        <w:tc>
          <w:tcPr>
            <w:tcW w:type="dxa" w:w="3168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Beneficiary</w:t>
            </w:r>
          </w:p>
        </w:tc>
        <w:tc>
          <w:tcPr>
            <w:tcW w:type="dxa" w:w="6192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A person or entity designated to receive an asset or benefit.</w:t>
            </w:r>
          </w:p>
        </w:tc>
      </w:tr>
      <w:tr>
        <w:trPr>
          <w:cantSplit/>
        </w:trPr>
        <w:tc>
          <w:tcPr>
            <w:tcW w:type="dxa" w:w="3168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Compounding</w:t>
            </w:r>
          </w:p>
        </w:tc>
        <w:tc>
          <w:tcPr>
            <w:tcW w:type="dxa" w:w="6192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Growth in which returns can generate additional returns over time.</w:t>
            </w:r>
          </w:p>
        </w:tc>
      </w:tr>
      <w:tr>
        <w:trPr>
          <w:cantSplit/>
        </w:trPr>
        <w:tc>
          <w:tcPr>
            <w:tcW w:type="dxa" w:w="3168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Diversification</w:t>
            </w:r>
          </w:p>
        </w:tc>
        <w:tc>
          <w:tcPr>
            <w:tcW w:type="dxa" w:w="6192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Spreading investments across assets or markets.</w:t>
            </w:r>
          </w:p>
        </w:tc>
      </w:tr>
      <w:tr>
        <w:trPr>
          <w:cantSplit/>
        </w:trPr>
        <w:tc>
          <w:tcPr>
            <w:tcW w:type="dxa" w:w="3168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Emergency fund</w:t>
            </w:r>
          </w:p>
        </w:tc>
        <w:tc>
          <w:tcPr>
            <w:tcW w:type="dxa" w:w="6192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Liquid savings reserved for unexpected essential expenses or income disruption.</w:t>
            </w:r>
          </w:p>
        </w:tc>
      </w:tr>
      <w:tr>
        <w:trPr>
          <w:cantSplit/>
        </w:trPr>
        <w:tc>
          <w:tcPr>
            <w:tcW w:type="dxa" w:w="3168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Employer match</w:t>
            </w:r>
          </w:p>
        </w:tc>
        <w:tc>
          <w:tcPr>
            <w:tcW w:type="dxa" w:w="6192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An employer retirement contribution tied to an employee contribution.</w:t>
            </w:r>
          </w:p>
        </w:tc>
      </w:tr>
      <w:tr>
        <w:trPr>
          <w:cantSplit/>
        </w:trPr>
        <w:tc>
          <w:tcPr>
            <w:tcW w:type="dxa" w:w="3168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Lifestyle inflation</w:t>
            </w:r>
          </w:p>
        </w:tc>
        <w:tc>
          <w:tcPr>
            <w:tcW w:type="dxa" w:w="6192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Increasing spending as income rises.</w:t>
            </w:r>
          </w:p>
        </w:tc>
      </w:tr>
      <w:tr>
        <w:trPr>
          <w:cantSplit/>
        </w:trPr>
        <w:tc>
          <w:tcPr>
            <w:tcW w:type="dxa" w:w="3168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Net worth</w:t>
            </w:r>
          </w:p>
        </w:tc>
        <w:tc>
          <w:tcPr>
            <w:tcW w:type="dxa" w:w="6192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Assets minus liabilities.</w:t>
            </w:r>
          </w:p>
        </w:tc>
      </w:tr>
      <w:tr>
        <w:trPr>
          <w:cantSplit/>
        </w:trPr>
        <w:tc>
          <w:tcPr>
            <w:tcW w:type="dxa" w:w="3168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Roth</w:t>
            </w:r>
          </w:p>
        </w:tc>
        <w:tc>
          <w:tcPr>
            <w:tcW w:type="dxa" w:w="6192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A tax structure using after-tax contributions with qualified tax-free withdrawals.</w:t>
            </w:r>
          </w:p>
        </w:tc>
      </w:tr>
      <w:tr>
        <w:trPr>
          <w:cantSplit/>
        </w:trPr>
        <w:tc>
          <w:tcPr>
            <w:tcW w:type="dxa" w:w="3168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Traditional</w:t>
            </w:r>
          </w:p>
        </w:tc>
        <w:tc>
          <w:tcPr>
            <w:tcW w:type="dxa" w:w="6192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A tax structure that may provide an upfront tax benefit with generally taxable withdrawals later.</w:t>
            </w:r>
          </w:p>
        </w:tc>
      </w:tr>
      <w:tr>
        <w:trPr>
          <w:cantSplit/>
        </w:trPr>
        <w:tc>
          <w:tcPr>
            <w:tcW w:type="dxa" w:w="3168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Time horizon</w:t>
            </w:r>
          </w:p>
        </w:tc>
        <w:tc>
          <w:tcPr>
            <w:tcW w:type="dxa" w:w="6192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The period before money is expected to be needed.</w:t>
            </w:r>
          </w:p>
        </w:tc>
      </w:tr>
      <w:tr>
        <w:trPr>
          <w:cantSplit/>
        </w:trPr>
        <w:tc>
          <w:tcPr>
            <w:tcW w:type="dxa" w:w="3168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Disability insurance</w:t>
            </w:r>
          </w:p>
        </w:tc>
        <w:tc>
          <w:tcPr>
            <w:tcW w:type="dxa" w:w="6192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Insurance intended to replace part of income after a covered disability.</w:t>
            </w:r>
          </w:p>
        </w:tc>
      </w:tr>
      <w:tr>
        <w:trPr>
          <w:cantSplit/>
        </w:trPr>
        <w:tc>
          <w:tcPr>
            <w:tcW w:type="dxa" w:w="3168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Estate plan</w:t>
            </w:r>
          </w:p>
        </w:tc>
        <w:tc>
          <w:tcPr>
            <w:tcW w:type="dxa" w:w="6192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Legal and financial arrangements for asset transfer and decision-making.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</w:pPr>
      <w:r>
        <w:t>Practical Worksheets &amp; Checklists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 w:val="0"/>
          <w:color w:val="1C1917"/>
          <w:sz w:val="22"/>
        </w:rPr>
        <w:t>Use these pages as operating tools. Keep sensitive credentials outside these worksheets in a secure access system. Review at least annually and after raises, job changes, or other major life events.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4FBFA" w:val="clear"/>
            <w:tcBorders>
              <w:top w:val="single" w:sz="12" w:color="0F766E"/>
              <w:left w:val="single" w:sz="12" w:color="0F766E"/>
              <w:bottom w:val="single" w:sz="12" w:color="0F766E"/>
              <w:right w:val="single" w:sz="12" w:color="0F766E"/>
            </w:tcBorders>
          </w:tcPr>
          <w:p>
            <w:pPr>
              <w:spacing w:after="120"/>
            </w:pPr>
            <w:r>
              <w:rPr>
                <w:rFonts w:ascii="Calibri" w:hAnsi="Calibri" w:eastAsia="Calibri"/>
                <w:b/>
                <w:i w:val="0"/>
                <w:caps/>
                <w:color w:val="0F766E"/>
                <w:sz w:val="20"/>
              </w:rPr>
              <w:t>WORKSHEET DISCLAIMER</w:t>
            </w:r>
          </w:p>
          <w:p>
            <w:pPr>
              <w:spacing w:after="120" w:before="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20"/>
              </w:rPr>
              <w:t>These worksheets are educational templates, not legal, tax, or investment forms. Completing them does not enroll you in a plan, create a will, or constitute professional advice. Do not write passwords, PINs, or recovery codes here.</w:t>
            </w:r>
          </w:p>
        </w:tc>
      </w:tr>
    </w:tbl>
    <w:p>
      <w:pPr>
        <w:spacing w:after="120"/>
      </w:pPr>
    </w:p>
    <w:p>
      <w:r>
        <w:br w:type="page"/>
      </w:r>
    </w:p>
    <w:p>
      <w:pPr>
        <w:pStyle w:val="Heading2"/>
      </w:pPr>
      <w:r>
        <w:t>Personal Financial Snapshot</w:t>
      </w:r>
    </w:p>
    <w:p>
      <w:pPr>
        <w:spacing w:after="16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Capture your starting numbers. Update this snapshot at least annually.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C5D9D6"/>
          <w:left w:val="single" w:sz="4" w:color="C5D9D6"/>
          <w:bottom w:val="single" w:sz="4" w:color="C5D9D6"/>
          <w:right w:val="single" w:sz="4" w:color="C5D9D6"/>
          <w:insideH w:val="single" w:sz="4" w:color="C5D9D6"/>
          <w:insideV w:val="single" w:sz="4" w:color="C5D9D6"/>
        </w:tblBorders>
      </w:tblPr>
      <w:tblGrid>
        <w:gridCol w:w="4680"/>
        <w:gridCol w:w="4680"/>
      </w:tblGrid>
      <w:tr>
        <w:tc>
          <w:tcPr>
            <w:tcW w:type="dxa" w:w="468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Item</w:t>
            </w:r>
          </w:p>
        </w:tc>
        <w:tc>
          <w:tcPr>
            <w:tcW w:type="dxa" w:w="468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Amount / note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Gross income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Monthly take-home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Essential expenses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Discretionary spending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Monthly savings / investing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Cash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Retirement assets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Taxable investments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Debt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Net worth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Savings rate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2"/>
      </w:pPr>
      <w:r>
        <w:t>Debt Inventory</w:t>
      </w:r>
    </w:p>
    <w:p>
      <w:pPr>
        <w:spacing w:after="16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List every debt. Choose a payoff method after you see the full picture.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C5D9D6"/>
          <w:left w:val="single" w:sz="4" w:color="C5D9D6"/>
          <w:bottom w:val="single" w:sz="4" w:color="C5D9D6"/>
          <w:right w:val="single" w:sz="4" w:color="C5D9D6"/>
          <w:insideH w:val="single" w:sz="4" w:color="C5D9D6"/>
          <w:insideV w:val="single" w:sz="4" w:color="C5D9D6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Debt</w:t>
            </w:r>
          </w:p>
        </w:tc>
        <w:tc>
          <w:tcPr>
            <w:tcW w:type="dxa" w:w="156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Balance</w:t>
            </w:r>
          </w:p>
        </w:tc>
        <w:tc>
          <w:tcPr>
            <w:tcW w:type="dxa" w:w="156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Rate</w:t>
            </w:r>
          </w:p>
        </w:tc>
        <w:tc>
          <w:tcPr>
            <w:tcW w:type="dxa" w:w="156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Minimum</w:t>
            </w:r>
          </w:p>
        </w:tc>
        <w:tc>
          <w:tcPr>
            <w:tcW w:type="dxa" w:w="156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Extra payment</w:t>
            </w:r>
          </w:p>
        </w:tc>
        <w:tc>
          <w:tcPr>
            <w:tcW w:type="dxa" w:w="156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Target date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156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</w:tbl>
    <w:p>
      <w:pPr>
        <w:spacing w:after="160"/>
      </w:pPr>
    </w:p>
    <w:p>
      <w:pPr>
        <w:spacing w:after="200" w:before="0"/>
      </w:pPr>
      <w:r>
        <w:rPr>
          <w:rFonts w:ascii="Calibri" w:hAnsi="Calibri" w:eastAsia="Calibri"/>
          <w:b w:val="0"/>
          <w:i/>
          <w:color w:val="1C1917"/>
          <w:sz w:val="20"/>
        </w:rPr>
        <w:t>Chosen method: Avalanche / Snowball / Other</w:t>
      </w:r>
    </w:p>
    <w:p>
      <w:r>
        <w:br w:type="page"/>
      </w:r>
    </w:p>
    <w:p>
      <w:pPr>
        <w:pStyle w:val="Heading2"/>
      </w:pPr>
      <w:r>
        <w:t>Employer Benefits Checklist</w:t>
      </w:r>
    </w:p>
    <w:p>
      <w:pPr>
        <w:spacing w:after="16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Review every benefit before the enrollment window closes.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C5D9D6"/>
          <w:left w:val="single" w:sz="4" w:color="C5D9D6"/>
          <w:bottom w:val="single" w:sz="4" w:color="C5D9D6"/>
          <w:right w:val="single" w:sz="4" w:color="C5D9D6"/>
          <w:insideH w:val="single" w:sz="4" w:color="C5D9D6"/>
          <w:insideV w:val="single" w:sz="4" w:color="C5D9D6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Benefit</w:t>
            </w:r>
          </w:p>
        </w:tc>
        <w:tc>
          <w:tcPr>
            <w:tcW w:type="dxa" w:w="312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Done</w:t>
            </w:r>
          </w:p>
        </w:tc>
        <w:tc>
          <w:tcPr>
            <w:tcW w:type="dxa" w:w="312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Notes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Retirement plan identified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Match identified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Vesting reviewed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Roth option reviewed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Health plan reviewed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Disability coverage reviewed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Life insurance reviewed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HSA / FSA reviewed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Other benefits reviewed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2"/>
      </w:pPr>
      <w:r>
        <w:t>Investment Starter Worksheet</w:t>
      </w:r>
    </w:p>
    <w:p>
      <w:pPr>
        <w:spacing w:after="16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Keep the first portfolio simple enough to maintain.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C5D9D6"/>
          <w:left w:val="single" w:sz="4" w:color="C5D9D6"/>
          <w:bottom w:val="single" w:sz="4" w:color="C5D9D6"/>
          <w:right w:val="single" w:sz="4" w:color="C5D9D6"/>
          <w:insideH w:val="single" w:sz="4" w:color="C5D9D6"/>
          <w:insideV w:val="single" w:sz="4" w:color="C5D9D6"/>
        </w:tblBorders>
      </w:tblPr>
      <w:tblGrid>
        <w:gridCol w:w="4680"/>
        <w:gridCol w:w="4680"/>
      </w:tblGrid>
      <w:tr>
        <w:tc>
          <w:tcPr>
            <w:tcW w:type="dxa" w:w="468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Item</w:t>
            </w:r>
          </w:p>
        </w:tc>
        <w:tc>
          <w:tcPr>
            <w:tcW w:type="dxa" w:w="468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Your plan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Goals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Time horizon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Risk capacity / tolerance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Target stock allocation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Target bond / cash allocation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Core investments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Review / rebalancing policy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2"/>
      </w:pPr>
      <w:r>
        <w:t>Annual Financial Review</w:t>
      </w:r>
    </w:p>
    <w:p>
      <w:pPr>
        <w:spacing w:after="16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Use this as a yearly household financial-system review, not only a portfolio check.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C5D9D6"/>
          <w:left w:val="single" w:sz="4" w:color="C5D9D6"/>
          <w:bottom w:val="single" w:sz="4" w:color="C5D9D6"/>
          <w:right w:val="single" w:sz="4" w:color="C5D9D6"/>
          <w:insideH w:val="single" w:sz="4" w:color="C5D9D6"/>
          <w:insideV w:val="single" w:sz="4" w:color="C5D9D6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Item</w:t>
            </w:r>
          </w:p>
        </w:tc>
        <w:tc>
          <w:tcPr>
            <w:tcW w:type="dxa" w:w="312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Done</w:t>
            </w:r>
          </w:p>
        </w:tc>
        <w:tc>
          <w:tcPr>
            <w:tcW w:type="dxa" w:w="312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Notes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Net worth updated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Savings rate calculated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Emergency fund reviewed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Debt reviewed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Retirement contributions increased if appropriate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Roth / Traditional strategy reviewed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Investments reviewed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Insurance reviewed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Beneficiaries reviewed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Estate documents reviewed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Digital inventory reviewed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12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Goals updated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  <w:tc>
          <w:tcPr>
            <w:tcW w:type="dxa" w:w="312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2"/>
      </w:pPr>
      <w:r>
        <w:t>First 10-Year Roadmap</w:t>
      </w:r>
    </w:p>
    <w:p>
      <w:pPr>
        <w:spacing w:after="16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Write the destination so each raise and job change has a purpose.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color="C5D9D6"/>
          <w:left w:val="single" w:sz="4" w:color="C5D9D6"/>
          <w:bottom w:val="single" w:sz="4" w:color="C5D9D6"/>
          <w:right w:val="single" w:sz="4" w:color="C5D9D6"/>
          <w:insideH w:val="single" w:sz="4" w:color="C5D9D6"/>
          <w:insideV w:val="single" w:sz="4" w:color="C5D9D6"/>
        </w:tblBorders>
      </w:tblPr>
      <w:tblGrid>
        <w:gridCol w:w="4680"/>
        <w:gridCol w:w="4680"/>
      </w:tblGrid>
      <w:tr>
        <w:tc>
          <w:tcPr>
            <w:tcW w:type="dxa" w:w="468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Horizon</w:t>
            </w:r>
          </w:p>
        </w:tc>
        <w:tc>
          <w:tcPr>
            <w:tcW w:type="dxa" w:w="4680"/>
            <w:shd w:fill="0F766E" w:val="clear"/>
          </w:tcPr>
          <w:p>
            <w:pPr>
              <w:spacing w:after="40" w:before="40"/>
            </w:pPr>
            <w:r>
              <w:rPr>
                <w:rFonts w:ascii="Calibri" w:hAnsi="Calibri" w:eastAsia="Calibri"/>
                <w:b/>
                <w:i w:val="0"/>
                <w:color w:val="FFFFFF"/>
                <w:sz w:val="17"/>
              </w:rPr>
              <w:t>Objective / number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Year 1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Year 2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Year 3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Year 4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Year 5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Years 6–10 objective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Target savings rate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Target net-worth milestone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Major purchase goal</w:t>
            </w:r>
          </w:p>
        </w:tc>
        <w:tc>
          <w:tcPr>
            <w:tcW w:type="dxa" w:w="4680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4680"/>
            <w:shd w:fill="F7FBFA" w:val="clear"/>
          </w:tcPr>
          <w:p>
            <w:pPr>
              <w:spacing w:after="6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>Financial-independence definition</w:t>
            </w:r>
          </w:p>
        </w:tc>
        <w:tc>
          <w:tcPr>
            <w:tcW w:type="dxa" w:w="4680"/>
            <w:shd w:fill="F7FBFA" w:val="clear"/>
          </w:tcPr>
          <w:p>
            <w:pPr>
              <w:spacing w:after="240" w:before="60"/>
            </w:pPr>
            <w:r>
              <w:rPr>
                <w:rFonts w:ascii="Calibri" w:hAnsi="Calibri" w:eastAsia="Calibri"/>
                <w:b w:val="0"/>
                <w:i w:val="0"/>
                <w:color w:val="1C1917"/>
                <w:sz w:val="17"/>
              </w:rPr>
              <w:t xml:space="preserve"> </w:t>
            </w:r>
          </w:p>
        </w:tc>
      </w:tr>
    </w:tbl>
    <w:p>
      <w:pPr>
        <w:spacing w:after="160"/>
      </w:pPr>
    </w:p>
    <w:p>
      <w:r>
        <w:br w:type="page"/>
      </w:r>
    </w:p>
    <w:p>
      <w:pPr>
        <w:pStyle w:val="Heading1"/>
      </w:pPr>
      <w:r>
        <w:t>Quick Start — The 10 Rules</w:t>
      </w:r>
    </w:p>
    <w:p>
      <w:pPr>
        <w:spacing w:after="200" w:before="0"/>
        <w:jc w:val="both"/>
      </w:pPr>
      <w:r>
        <w:rPr>
          <w:rFonts w:ascii="Calibri" w:hAnsi="Calibri" w:eastAsia="Calibri"/>
          <w:b w:val="0"/>
          <w:i/>
          <w:color w:val="1C1917"/>
          <w:sz w:val="20"/>
        </w:rPr>
        <w:t>Keep this list visible in the first years of earning. The rest of the book explains why these rules work.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Spend less than you earn.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Build an appropriate emergency reserve.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Eliminate high-interest consumer debt.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Capture the employer retirement match when practical.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Start investing early and consistently.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Use Roth and Traditional accounts deliberately.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Protect your ability to earn.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Prevent lifestyle inflation.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Track net worth and financial progress.</w:t>
      </w:r>
    </w:p>
    <w:p>
      <w:pPr>
        <w:pStyle w:val="ListNumber"/>
        <w:spacing w:after="80"/>
        <w:ind w:left="360"/>
      </w:pPr>
      <w:r>
        <w:rPr>
          <w:rFonts w:ascii="Calibri" w:hAnsi="Calibri" w:eastAsia="Calibri"/>
          <w:b w:val="0"/>
          <w:i w:val="0"/>
          <w:color w:val="1C1917"/>
          <w:sz w:val="22"/>
        </w:rPr>
        <w:t>Automate good financial behavior.</w:t>
      </w:r>
    </w:p>
    <w:p>
      <w:r>
        <w:br w:type="page"/>
      </w:r>
    </w:p>
    <w:p>
      <w:pPr>
        <w:pStyle w:val="Heading1"/>
      </w:pPr>
      <w:r>
        <w:t>A closing note from Su Bella Vida</w:t>
      </w:r>
    </w:p>
    <w:p>
      <w:pPr>
        <w:spacing w:after="200" w:before="0"/>
      </w:pPr>
      <w:r>
        <w:rPr>
          <w:rFonts w:ascii="Calibri" w:hAnsi="Calibri" w:eastAsia="Calibri"/>
          <w:b w:val="0"/>
          <w:i w:val="0"/>
          <w:color w:val="1C1917"/>
          <w:sz w:val="22"/>
        </w:rPr>
        <w:t>You do not need a perfect plan at your first job. You need a system that consistently moves money toward stability, protection, growth, and future freedom.</w:t>
      </w:r>
    </w:p>
    <w:p>
      <w:pPr>
        <w:spacing w:after="200" w:before="0"/>
      </w:pPr>
      <w:r>
        <w:rPr>
          <w:rFonts w:ascii="Calibri" w:hAnsi="Calibri" w:eastAsia="Calibri"/>
          <w:b w:val="0"/>
          <w:i w:val="0"/>
          <w:color w:val="1C1917"/>
          <w:sz w:val="22"/>
        </w:rPr>
        <w:t>Su Bella Vida is designed to help you learn, organize, and practice—not to replace a CPA, attorney, fiduciary, or licensed advisor. When the plan is real, bring in the professionals who can put it into force.</w:t>
      </w:r>
    </w:p>
    <w:p>
      <w:pPr>
        <w:spacing w:after="200" w:before="0"/>
      </w:pPr>
      <w:r>
        <w:rPr>
          <w:rFonts w:ascii="Calibri" w:hAnsi="Calibri" w:eastAsia="Calibri"/>
          <w:b w:val="0"/>
          <w:i w:val="0"/>
          <w:color w:val="1C1917"/>
          <w:sz w:val="22"/>
        </w:rPr>
        <w:t>Questions: support@subellavida.com  ·  https://subellavida.com</w:t>
      </w:r>
    </w:p>
    <w:sectPr w:rsidR="00FC693F" w:rsidRPr="0006063C" w:rsidSect="00034616">
      <w:headerReference w:type="first" r:id="rId10"/>
      <w:footerReference w:type="first" r:id="rId11"/>
      <w:headerReference w:type="default" r:id="rId12"/>
      <w:footerReference w:type="default" r:id="rId13"/>
      <w:pgSz w:w="12240" w:h="15840"/>
      <w:pgMar w:top="1440" w:right="1440" w:bottom="1368" w:left="1440" w:header="576" w:footer="57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bottom w:val="single" w:sz="12" w:space="1" w:color="D6E8E6"/>
      </w:pBdr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bottom w:val="single" w:sz="12" w:space="1" w:color="D6E8E6"/>
      </w:pBdr>
    </w:pPr>
    <w:r>
      <w:rPr>
        <w:rFonts w:ascii="Calibri" w:hAnsi="Calibri" w:eastAsia="Calibri"/>
        <w:b w:val="0"/>
        <w:i w:val="0"/>
        <w:color w:val="57534E"/>
        <w:sz w:val="16"/>
      </w:rPr>
      <w:t xml:space="preserve">SuBellaVida.Com  ·  Educational material — not professional advice  ·  </w:t>
    </w:r>
    <w:r>
      <w:fldChar w:fldCharType="begin"/>
    </w:r>
    <w:r>
      <w:instrText xml:space="preserve"> PAGE </w:instrText>
    </w:r>
    <w:r>
      <w:fldChar w:fldCharType="end"/>
    </w:r>
    <w:r>
      <w:rPr>
        <w:rFonts w:ascii="Calibri" w:hAnsi="Calibri" w:eastAsia="Calibri"/>
        <w:b w:val="0"/>
        <w:i w:val="0"/>
        <w:color w:val="57534E"/>
        <w:sz w:val="16"/>
      </w:rPr>
      <w:t xml:space="preserve">  ·  © 2025–2026 Su Bella Vida. All rights reserved.</w:t>
    </w:r>
  </w:p>
</w:ftr>
</file>

<file path=word/header1.xml><?xml version='1.0' encoding='UTF-8' standalone='yes'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ns0="http://www.w3.org/2000/xmlns/" mc:Ignorable="w14 wp14" ns0:v="urn:schemas-microsoft-com:vml" ns0:o="urn:schemas-microsoft-com:office:office"><w:p>
  <w:r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PowerPlusWaterMarkObject" o:spid="_x0000_s2050" type="#_x0000_t136" style="position:absolute;margin-left:0;margin-top:0;width:528pt;height:216pt;rotation:315;z-index:-251658752;mso-position-horizontal:center;mso-position-horizontal-relative:margin;mso-position-vertical:center;mso-position-vertical-relative:margin" o:allowincell="f" fillcolor="#0F766E" stroked="f">
        <v:fill opacity=".18"/>
        <v:textpath style="font-family:&quot;Calibri&quot;;font-size:1pt" string="SuBellaVida.Com"/>
      </v:shape>
    </w:pict>
  </w:r>
</w:p><w:p><w:pPr><w:pStyle w:val="Header"/><w:spacing w:after="40"/><w:jc w:val="left"/><w:pBdr><w:bottom w:val="single" w:sz="12" w:space="1" w:color="0F766E"/></w:pBdr></w:pPr></w:p></w:hdr>
</file>

<file path=word/header2.xml><?xml version='1.0' encoding='UTF-8' standalone='yes'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ns0="http://www.w3.org/2000/xmlns/" mc:Ignorable="w14 wp14" ns0:v="urn:schemas-microsoft-com:vml" ns0:o="urn:schemas-microsoft-com:office:office"><w:p>
  <w:r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PowerPlusWaterMarkObject" o:spid="_x0000_s2050" type="#_x0000_t136" style="position:absolute;margin-left:0;margin-top:0;width:528pt;height:216pt;rotation:315;z-index:-251658752;mso-position-horizontal:center;mso-position-horizontal-relative:margin;mso-position-vertical:center;mso-position-vertical-relative:margin" o:allowincell="f" fillcolor="#0F766E" stroked="f">
        <v:fill opacity=".18"/>
        <v:textpath style="font-family:&quot;Calibri&quot;;font-size:1pt" string="SuBellaVida.Com"/>
      </v:shape>
    </w:pict>
  </w:r>
</w:p><w:p><w:pPr><w:pStyle w:val="Header"/><w:spacing w:after="40"/><w:jc w:val="left"/><w:pBdr><w:bottom w:val="single" w:sz="12" w:space="1" w:color="0F766E"/></w:pBdr></w:pPr><w:r><w:drawing><wp:inline xmlns:a="http://schemas.openxmlformats.org/drawingml/2006/main" xmlns:pic="http://schemas.openxmlformats.org/drawingml/2006/picture"><wp:extent cx="256032" cy="256032"/><wp:docPr id="1" name="Picture 1"/><wp:cNvGraphicFramePr><a:graphicFrameLocks noChangeAspect="1"/></wp:cNvGraphicFramePr><a:graphic><a:graphicData uri="http://schemas.openxmlformats.org/drawingml/2006/picture"><pic:pic><pic:nvPicPr><pic:cNvPr id="0" name="_tmp_app_icon_512.png"/><pic:cNvPicPr/></pic:nvPicPr><pic:blipFill><a:blip r:embed="rId1"/><a:stretch><a:fillRect/></a:stretch></pic:blipFill><pic:spPr><a:xfrm><a:off x="0" y="0"/><a:ext cx="256032" cy="256032"/></a:xfrm><a:prstGeom prst="rect"/></pic:spPr></pic:pic></a:graphicData></a:graphic></wp:inline></w:drawing></w:r><w:r><w:rPr><w:rFonts w:ascii="Calibri" w:hAnsi="Calibri" w:eastAsia="Calibri"/><w:b w:val="0"/><w:i w:val="0"/><w:color w:val="57534E"/><w:sz w:val="18"/></w:rPr><w:t xml:space="preserve">   </w:t></w:r><w:r><w:rPr><w:rFonts w:ascii="Calibri" w:hAnsi="Calibri" w:eastAsia="Calibri"/><w:b/><w:i w:val="0"/><w:color w:val="0F766E"/><w:sz w:val="18"/></w:rPr><w:t>Your First Paycheck</w:t></w:r><w:r><w:rPr><w:rFonts w:ascii="Calibri" w:hAnsi="Calibri" w:eastAsia="Calibri"/><w:b w:val="0"/><w:i w:val="0"/><w:color w:val="57534E"/><w:sz w:val="18"/></w:rPr><w:t xml:space="preserve">  ·  Su Bella Vida</w:t></w:r></w:p>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200" w:before="0" w:lineRule="auto" w:line="276"/>
    </w:pPr>
    <w:rPr>
      <w:rFonts w:ascii="Calibri" w:hAnsi="Calibri"/>
      <w:color w:val="1C19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ageBreakBefore w:val="0"/>
      <w:widowControl/>
      <w:spacing w:before="44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766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pageBreakBefore w:val="0"/>
      <w:widowControl/>
      <w:spacing w:before="32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44A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pageBreakBefore w:val="0"/>
      <w:widowControl/>
      <w:spacing w:before="24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C1917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ageBreakBefore w:val="0"/>
      <w:widowControl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0F766E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footer" Target="footer2.xml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First Paycheck</dc:title>
  <dc:subject>First-paycheck financial education for graduates and young professionals</dc:subject>
  <dc:creator>Su Bella Vida</dc:creator>
  <cp:keywords>Su Bella Vida; first paycheck; career; investing; education</cp:keywords>
  <dc:description>Advisor edition with educational disclaimers. Not legal, tax, or investment advice.</dc:description>
  <cp:lastModifiedBy/>
  <cp:revision>1</cp:revision>
  <dcterms:created xsi:type="dcterms:W3CDTF">2013-12-23T23:15:00Z</dcterms:created>
  <dcterms:modified xsi:type="dcterms:W3CDTF">2013-12-23T23:15:00Z</dcterms:modified>
  <cp:category>Education</cp:category>
</cp:coreProperties>
</file>